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80" w:rsidRDefault="003D4762">
      <w:pPr>
        <w:spacing w:after="161" w:line="259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1485900" cy="4127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:rsidR="004E0080" w:rsidRDefault="003D4762">
      <w:pPr>
        <w:spacing w:after="276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4E0080" w:rsidRDefault="003D4762">
      <w:pPr>
        <w:spacing w:after="0" w:line="259" w:lineRule="auto"/>
        <w:ind w:left="0" w:right="68" w:firstLine="0"/>
        <w:jc w:val="right"/>
      </w:pPr>
      <w:r>
        <w:rPr>
          <w:b/>
          <w:sz w:val="24"/>
        </w:rPr>
        <w:t xml:space="preserve">ТЕХНИЧЕСКАЯ СПЕЦИФИКАЦИЯ  </w:t>
      </w:r>
    </w:p>
    <w:p w:rsidR="004E0080" w:rsidRDefault="003D4762">
      <w:pPr>
        <w:spacing w:after="0" w:line="259" w:lineRule="auto"/>
        <w:ind w:left="0" w:firstLine="0"/>
        <w:jc w:val="right"/>
      </w:pPr>
      <w:r>
        <w:rPr>
          <w:b/>
          <w:sz w:val="24"/>
        </w:rPr>
        <w:t xml:space="preserve"> </w:t>
      </w:r>
    </w:p>
    <w:p w:rsidR="004E0080" w:rsidRDefault="003D4762">
      <w:pPr>
        <w:spacing w:after="0" w:line="259" w:lineRule="auto"/>
        <w:ind w:right="53"/>
        <w:jc w:val="right"/>
      </w:pPr>
      <w:r>
        <w:rPr>
          <w:sz w:val="24"/>
        </w:rPr>
        <w:t xml:space="preserve">11.03.21. (1)  </w:t>
      </w:r>
    </w:p>
    <w:p w:rsidR="004E0080" w:rsidRDefault="003D4762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4E0080" w:rsidRDefault="003D4762">
      <w:pPr>
        <w:spacing w:after="0" w:line="259" w:lineRule="auto"/>
        <w:ind w:right="53"/>
        <w:jc w:val="right"/>
      </w:pPr>
      <w:r>
        <w:rPr>
          <w:sz w:val="24"/>
        </w:rPr>
        <w:t xml:space="preserve">O 07 9855  </w:t>
      </w:r>
    </w:p>
    <w:p w:rsidR="004E0080" w:rsidRDefault="003D4762">
      <w:pPr>
        <w:spacing w:after="195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E0080" w:rsidRDefault="003D4762">
      <w:pPr>
        <w:tabs>
          <w:tab w:val="center" w:pos="9354"/>
        </w:tabs>
        <w:spacing w:after="19" w:line="259" w:lineRule="auto"/>
        <w:ind w:left="0" w:firstLine="0"/>
        <w:jc w:val="left"/>
      </w:pPr>
      <w:r>
        <w:rPr>
          <w:b/>
          <w:sz w:val="24"/>
        </w:rPr>
        <w:t xml:space="preserve">HOLZER </w:t>
      </w:r>
      <w:proofErr w:type="spellStart"/>
      <w:r>
        <w:rPr>
          <w:b/>
          <w:sz w:val="24"/>
        </w:rPr>
        <w:t>Torz</w:t>
      </w:r>
      <w:proofErr w:type="spellEnd"/>
      <w:r>
        <w:rPr>
          <w:b/>
          <w:sz w:val="24"/>
        </w:rPr>
        <w:t xml:space="preserve">-ÖL </w:t>
      </w:r>
      <w:r>
        <w:rPr>
          <w:b/>
          <w:sz w:val="24"/>
        </w:rPr>
        <w:tab/>
      </w:r>
      <w:r>
        <w:rPr>
          <w:sz w:val="37"/>
          <w:vertAlign w:val="superscript"/>
        </w:rPr>
        <w:t xml:space="preserve"> </w:t>
      </w:r>
    </w:p>
    <w:p w:rsidR="004E0080" w:rsidRDefault="003D4762">
      <w:pPr>
        <w:spacing w:after="19" w:line="259" w:lineRule="auto"/>
        <w:ind w:right="69"/>
        <w:jc w:val="left"/>
      </w:pPr>
      <w:r>
        <w:rPr>
          <w:sz w:val="24"/>
        </w:rPr>
        <w:t xml:space="preserve"> </w:t>
      </w:r>
      <w:r>
        <w:rPr>
          <w:b/>
          <w:sz w:val="24"/>
        </w:rPr>
        <w:t xml:space="preserve">Защита торцов </w:t>
      </w:r>
    </w:p>
    <w:p w:rsidR="004E0080" w:rsidRDefault="003D4762">
      <w:pPr>
        <w:spacing w:after="19" w:line="259" w:lineRule="auto"/>
        <w:ind w:left="161" w:right="69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4376370</wp:posOffset>
            </wp:positionH>
            <wp:positionV relativeFrom="paragraph">
              <wp:posOffset>-79247</wp:posOffset>
            </wp:positionV>
            <wp:extent cx="1562100" cy="1539240"/>
            <wp:effectExtent l="0" t="0" r="0" b="0"/>
            <wp:wrapSquare wrapText="bothSides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</w:t>
      </w:r>
    </w:p>
    <w:p w:rsidR="004E0080" w:rsidRDefault="003D4762">
      <w:pPr>
        <w:spacing w:after="19" w:line="259" w:lineRule="auto"/>
        <w:ind w:left="156" w:right="69"/>
        <w:jc w:val="left"/>
      </w:pPr>
      <w:r>
        <w:rPr>
          <w:b/>
          <w:sz w:val="24"/>
        </w:rPr>
        <w:t xml:space="preserve">Особенности: </w:t>
      </w:r>
    </w:p>
    <w:p w:rsidR="004E0080" w:rsidRDefault="003D4762">
      <w:pPr>
        <w:numPr>
          <w:ilvl w:val="0"/>
          <w:numId w:val="1"/>
        </w:numPr>
        <w:spacing w:after="19" w:line="259" w:lineRule="auto"/>
        <w:ind w:right="69" w:hanging="348"/>
        <w:jc w:val="left"/>
      </w:pPr>
      <w:r>
        <w:rPr>
          <w:sz w:val="24"/>
        </w:rPr>
        <w:t xml:space="preserve">Не образует пленку </w:t>
      </w:r>
    </w:p>
    <w:p w:rsidR="004E0080" w:rsidRDefault="003D4762">
      <w:pPr>
        <w:numPr>
          <w:ilvl w:val="0"/>
          <w:numId w:val="1"/>
        </w:numPr>
        <w:spacing w:after="19" w:line="259" w:lineRule="auto"/>
        <w:ind w:right="69" w:hanging="348"/>
        <w:jc w:val="left"/>
      </w:pPr>
      <w:r>
        <w:rPr>
          <w:sz w:val="24"/>
        </w:rPr>
        <w:t xml:space="preserve">Препятствует растрескиванию </w:t>
      </w:r>
    </w:p>
    <w:p w:rsidR="004E0080" w:rsidRDefault="003D4762">
      <w:pPr>
        <w:numPr>
          <w:ilvl w:val="0"/>
          <w:numId w:val="1"/>
        </w:numPr>
        <w:spacing w:after="19" w:line="259" w:lineRule="auto"/>
        <w:ind w:right="69" w:hanging="348"/>
        <w:jc w:val="left"/>
      </w:pPr>
      <w:r>
        <w:rPr>
          <w:sz w:val="24"/>
        </w:rPr>
        <w:t xml:space="preserve">Защищает от грибков, плесени </w:t>
      </w:r>
    </w:p>
    <w:p w:rsidR="004E0080" w:rsidRDefault="003D4762">
      <w:pPr>
        <w:numPr>
          <w:ilvl w:val="0"/>
          <w:numId w:val="1"/>
        </w:numPr>
        <w:spacing w:after="19" w:line="259" w:lineRule="auto"/>
        <w:ind w:right="69" w:hanging="348"/>
        <w:jc w:val="left"/>
      </w:pPr>
      <w:r>
        <w:rPr>
          <w:sz w:val="24"/>
        </w:rPr>
        <w:t xml:space="preserve">Позволяет древесине «дышать» </w:t>
      </w:r>
    </w:p>
    <w:p w:rsidR="004E0080" w:rsidRDefault="003D4762">
      <w:pPr>
        <w:numPr>
          <w:ilvl w:val="0"/>
          <w:numId w:val="1"/>
        </w:numPr>
        <w:spacing w:after="129" w:line="259" w:lineRule="auto"/>
        <w:ind w:right="69" w:hanging="348"/>
        <w:jc w:val="left"/>
      </w:pPr>
      <w:r>
        <w:rPr>
          <w:sz w:val="24"/>
        </w:rPr>
        <w:t xml:space="preserve">Защищает от торцевого разбухания </w:t>
      </w:r>
    </w:p>
    <w:p w:rsidR="004E0080" w:rsidRDefault="003D4762">
      <w:pPr>
        <w:spacing w:after="0" w:line="259" w:lineRule="auto"/>
        <w:ind w:left="6892" w:firstLine="0"/>
        <w:jc w:val="right"/>
      </w:pPr>
      <w:r>
        <w:rPr>
          <w:sz w:val="24"/>
        </w:rPr>
        <w:t xml:space="preserve"> </w:t>
      </w:r>
    </w:p>
    <w:p w:rsidR="004E0080" w:rsidRDefault="003D4762">
      <w:pPr>
        <w:spacing w:after="18" w:line="259" w:lineRule="auto"/>
        <w:ind w:left="0" w:firstLine="0"/>
        <w:jc w:val="left"/>
      </w:pPr>
      <w:r>
        <w:t xml:space="preserve"> </w:t>
      </w:r>
    </w:p>
    <w:p w:rsidR="004E0080" w:rsidRDefault="003D4762">
      <w:pPr>
        <w:spacing w:line="259" w:lineRule="auto"/>
        <w:ind w:left="-5" w:right="52"/>
      </w:pPr>
      <w:r>
        <w:t xml:space="preserve">Защитное покрытие для деревянных торцов. </w:t>
      </w:r>
    </w:p>
    <w:p w:rsidR="004E0080" w:rsidRDefault="003D4762">
      <w:pPr>
        <w:spacing w:after="11" w:line="259" w:lineRule="auto"/>
        <w:ind w:left="0" w:firstLine="0"/>
        <w:jc w:val="left"/>
      </w:pPr>
      <w:r>
        <w:t xml:space="preserve"> </w:t>
      </w:r>
    </w:p>
    <w:p w:rsidR="004E0080" w:rsidRDefault="003D4762">
      <w:pPr>
        <w:spacing w:after="166"/>
        <w:ind w:left="-5" w:right="52"/>
      </w:pPr>
      <w:r>
        <w:rPr>
          <w:color w:val="0F0C0A"/>
        </w:rPr>
        <w:t xml:space="preserve">Воск HOLZER </w:t>
      </w:r>
      <w:proofErr w:type="spellStart"/>
      <w:r>
        <w:rPr>
          <w:b/>
        </w:rPr>
        <w:t>Torz</w:t>
      </w:r>
      <w:proofErr w:type="spellEnd"/>
      <w:r>
        <w:rPr>
          <w:b/>
        </w:rPr>
        <w:t>-ÖL</w:t>
      </w:r>
      <w:r>
        <w:t xml:space="preserve"> – средство на основе натуральных масел и восков, предназначенное для герметизации торцов и защиты их от растрескивания. </w:t>
      </w:r>
      <w:r>
        <w:t xml:space="preserve">Может применяться для обработки торцов, срезов террасной и фасадной доски, свесов из твердых и мягких торцов древесины, в том числе </w:t>
      </w:r>
      <w:proofErr w:type="spellStart"/>
      <w:r>
        <w:t>термообработанной</w:t>
      </w:r>
      <w:proofErr w:type="spellEnd"/>
      <w:r>
        <w:t>. Снижает вероятность торцевого разбухания и усушки. Глубоко проникает в капилляры и защищает древесину изн</w:t>
      </w:r>
      <w:r>
        <w:t xml:space="preserve">утри. Обеспечивает защиту сроком не менее 5 лет от деревоокрашивающих и дереворазрушающих грибков, плесени. </w:t>
      </w:r>
      <w:r>
        <w:rPr>
          <w:color w:val="0F0C0A"/>
        </w:rPr>
        <w:t xml:space="preserve"> В процессе эксплуатации не трескается и не шелушится. </w:t>
      </w:r>
      <w:r>
        <w:rPr>
          <w:b/>
        </w:rPr>
        <w:t xml:space="preserve"> </w:t>
      </w:r>
    </w:p>
    <w:p w:rsidR="004E0080" w:rsidRDefault="003D4762">
      <w:pPr>
        <w:pStyle w:val="1"/>
        <w:ind w:left="-5"/>
      </w:pPr>
      <w:r>
        <w:t xml:space="preserve">ТЕХНИЧЕСКАЯ ХАРАКТЕРИСТИКА </w:t>
      </w:r>
      <w:r>
        <w:rPr>
          <w:rFonts w:ascii="Calibri" w:eastAsia="Calibri" w:hAnsi="Calibri" w:cs="Calibri"/>
        </w:rPr>
        <w:t xml:space="preserve"> </w:t>
      </w:r>
    </w:p>
    <w:p w:rsidR="004E0080" w:rsidRDefault="003D4762">
      <w:pPr>
        <w:spacing w:after="4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E0080" w:rsidRDefault="003D4762">
      <w:pPr>
        <w:spacing w:after="46"/>
        <w:ind w:left="-5" w:right="52"/>
      </w:pPr>
      <w:r>
        <w:t xml:space="preserve">Расход при однослойном </w:t>
      </w:r>
      <w:r>
        <w:tab/>
        <w:t>Около 8 м² готовой поверхности с 1 л</w:t>
      </w:r>
      <w:r>
        <w:t xml:space="preserve">итра нанесении </w:t>
      </w:r>
    </w:p>
    <w:p w:rsidR="004E0080" w:rsidRDefault="003D4762">
      <w:pPr>
        <w:spacing w:after="426"/>
        <w:ind w:left="-5" w:right="52"/>
      </w:pPr>
      <w:r>
        <w:t xml:space="preserve">Расход при двухслойном нанесении </w:t>
      </w:r>
      <w:proofErr w:type="gramStart"/>
      <w:r>
        <w:t>Около</w:t>
      </w:r>
      <w:proofErr w:type="gramEnd"/>
      <w:r>
        <w:t xml:space="preserve"> 5 м² готовой поверхности с 1 литра </w:t>
      </w:r>
    </w:p>
    <w:p w:rsidR="004E0080" w:rsidRDefault="003D4762">
      <w:pPr>
        <w:tabs>
          <w:tab w:val="center" w:pos="4420"/>
        </w:tabs>
        <w:spacing w:after="207" w:line="259" w:lineRule="auto"/>
        <w:ind w:left="-15" w:firstLine="0"/>
        <w:jc w:val="left"/>
      </w:pPr>
      <w:r>
        <w:t xml:space="preserve">Время высыхания    </w:t>
      </w:r>
      <w:r>
        <w:t xml:space="preserve">3-6 часов </w:t>
      </w:r>
    </w:p>
    <w:p w:rsidR="004E0080" w:rsidRDefault="003D4762">
      <w:pPr>
        <w:tabs>
          <w:tab w:val="center" w:pos="3998"/>
        </w:tabs>
        <w:spacing w:after="76" w:line="259" w:lineRule="auto"/>
        <w:ind w:left="-15" w:firstLine="0"/>
        <w:jc w:val="left"/>
      </w:pPr>
      <w:r>
        <w:t xml:space="preserve">Необходимое количество слоев </w:t>
      </w:r>
      <w:r>
        <w:tab/>
        <w:t xml:space="preserve">2 </w:t>
      </w:r>
    </w:p>
    <w:p w:rsidR="004E0080" w:rsidRDefault="003D4762">
      <w:pPr>
        <w:tabs>
          <w:tab w:val="center" w:pos="4629"/>
          <w:tab w:val="center" w:pos="6344"/>
          <w:tab w:val="center" w:pos="7685"/>
          <w:tab w:val="center" w:pos="8365"/>
          <w:tab w:val="right" w:pos="9421"/>
        </w:tabs>
        <w:spacing w:line="259" w:lineRule="auto"/>
        <w:ind w:left="-15" w:firstLine="0"/>
        <w:jc w:val="left"/>
      </w:pPr>
      <w:r>
        <w:t xml:space="preserve">Состав </w:t>
      </w:r>
      <w:r>
        <w:tab/>
        <w:t xml:space="preserve">Натуральные </w:t>
      </w:r>
      <w:r>
        <w:tab/>
        <w:t xml:space="preserve">растительные </w:t>
      </w:r>
      <w:r>
        <w:tab/>
        <w:t xml:space="preserve">масла </w:t>
      </w:r>
      <w:r>
        <w:tab/>
        <w:t xml:space="preserve">и </w:t>
      </w:r>
      <w:r>
        <w:tab/>
        <w:t xml:space="preserve">воски, </w:t>
      </w:r>
    </w:p>
    <w:p w:rsidR="004E0080" w:rsidRDefault="003D4762">
      <w:pPr>
        <w:spacing w:after="38" w:line="257" w:lineRule="auto"/>
        <w:ind w:left="-15" w:right="52" w:firstLine="3937"/>
      </w:pPr>
      <w:r>
        <w:t>модифицирующие добавки, алифатические углеводороды</w:t>
      </w:r>
      <w:r>
        <w:t xml:space="preserve">, сиккатив, </w:t>
      </w:r>
      <w:proofErr w:type="spellStart"/>
      <w:r>
        <w:t>биоциды</w:t>
      </w:r>
      <w:proofErr w:type="spellEnd"/>
      <w:r>
        <w:t xml:space="preserve">.  </w:t>
      </w:r>
      <w:r>
        <w:tab/>
        <w:t xml:space="preserve"> </w:t>
      </w:r>
    </w:p>
    <w:p w:rsidR="004E0080" w:rsidRDefault="003D4762">
      <w:pPr>
        <w:spacing w:after="11" w:line="259" w:lineRule="auto"/>
        <w:ind w:left="0" w:firstLine="0"/>
        <w:jc w:val="left"/>
      </w:pPr>
      <w:r>
        <w:rPr>
          <w:b/>
        </w:rPr>
        <w:t xml:space="preserve"> </w:t>
      </w:r>
    </w:p>
    <w:p w:rsidR="004E0080" w:rsidRDefault="003D4762">
      <w:pPr>
        <w:spacing w:after="7" w:line="250" w:lineRule="auto"/>
        <w:ind w:left="-5" w:right="60"/>
      </w:pPr>
      <w:r>
        <w:rPr>
          <w:i/>
          <w:sz w:val="20"/>
        </w:rPr>
        <w:t xml:space="preserve">Все показатели качества приведены для температуры окружающей среды +20°C и относительной влажности воздуха 60%. Технические характеристики продукта могут отличаться от указанных при других условиях.  </w:t>
      </w:r>
    </w:p>
    <w:p w:rsidR="004E0080" w:rsidRDefault="003D4762">
      <w:pPr>
        <w:spacing w:after="449" w:line="250" w:lineRule="auto"/>
        <w:ind w:left="-5" w:right="60"/>
      </w:pPr>
      <w:r>
        <w:rPr>
          <w:i/>
          <w:sz w:val="20"/>
        </w:rPr>
        <w:t xml:space="preserve">Расход материала зависит квалификации исполнителей работ, технологии нанесения и качества подготовки основания и может быть выше указанных значений. Для определения </w:t>
      </w:r>
    </w:p>
    <w:p w:rsidR="004E0080" w:rsidRDefault="003D4762">
      <w:pPr>
        <w:spacing w:after="110" w:line="259" w:lineRule="auto"/>
        <w:ind w:left="-5"/>
        <w:jc w:val="left"/>
      </w:pPr>
      <w:r>
        <w:rPr>
          <w:rFonts w:ascii="Calibri" w:eastAsia="Calibri" w:hAnsi="Calibri" w:cs="Calibri"/>
          <w:i/>
          <w:color w:val="C00000"/>
        </w:rPr>
        <w:lastRenderedPageBreak/>
        <w:t xml:space="preserve">                                                       </w:t>
      </w:r>
      <w:r>
        <w:rPr>
          <w:rFonts w:ascii="Calibri" w:eastAsia="Calibri" w:hAnsi="Calibri" w:cs="Calibri"/>
          <w:color w:val="C00000"/>
        </w:rPr>
        <w:t xml:space="preserve">                </w:t>
      </w:r>
      <w:r>
        <w:rPr>
          <w:rFonts w:ascii="Calibri" w:eastAsia="Calibri" w:hAnsi="Calibri" w:cs="Calibri"/>
          <w:color w:val="C00000"/>
        </w:rPr>
        <w:t xml:space="preserve">                                  </w:t>
      </w:r>
      <w:r>
        <w:rPr>
          <w:rFonts w:ascii="Calibri" w:eastAsia="Calibri" w:hAnsi="Calibri" w:cs="Calibri"/>
          <w:color w:val="C00000"/>
        </w:rPr>
        <w:t xml:space="preserve"> </w:t>
      </w:r>
    </w:p>
    <w:p w:rsidR="004E0080" w:rsidRDefault="003D4762">
      <w:pPr>
        <w:spacing w:after="161" w:line="259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1485900" cy="412750"/>
            <wp:effectExtent l="0" t="0" r="0" b="0"/>
            <wp:docPr id="230" name="Picture 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:rsidR="004E0080" w:rsidRDefault="003D4762">
      <w:pPr>
        <w:spacing w:after="194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4E0080" w:rsidRDefault="003D4762">
      <w:pPr>
        <w:spacing w:after="7" w:line="250" w:lineRule="auto"/>
        <w:ind w:left="-5" w:right="60"/>
      </w:pPr>
      <w:r>
        <w:rPr>
          <w:i/>
          <w:sz w:val="20"/>
        </w:rPr>
        <w:t xml:space="preserve">точного расхода рекомендуется выполнить пробное нанесение материала непосредственно на объект. </w:t>
      </w:r>
    </w:p>
    <w:p w:rsidR="004E0080" w:rsidRDefault="003D4762">
      <w:pPr>
        <w:spacing w:after="69" w:line="259" w:lineRule="auto"/>
        <w:ind w:left="0" w:firstLine="0"/>
        <w:jc w:val="left"/>
      </w:pPr>
      <w:r>
        <w:t xml:space="preserve"> </w:t>
      </w:r>
    </w:p>
    <w:p w:rsidR="004E0080" w:rsidRDefault="003D4762">
      <w:pPr>
        <w:pStyle w:val="1"/>
        <w:ind w:left="-5"/>
      </w:pPr>
      <w:r>
        <w:t xml:space="preserve">Предварительная подготовка поверхности </w:t>
      </w:r>
    </w:p>
    <w:p w:rsidR="004E0080" w:rsidRDefault="003D4762">
      <w:pPr>
        <w:ind w:left="-5" w:right="52"/>
      </w:pPr>
      <w:r>
        <w:t>Поверхность древесины должна быть сухой (влажность не боле</w:t>
      </w:r>
      <w:r>
        <w:t>е 20%), очищенной от грязи и пыли. Старое пленкообразующее или лаковое покрытие удалить полностью. Обработка мерзлой древесины не допускается. Поверхность древесины необходимо предварительно зашлифовать вручную с использованием шлифовальной бумаги зернисто</w:t>
      </w:r>
      <w:r>
        <w:t xml:space="preserve">стью 40-60 или шлифовальной машинкой.  </w:t>
      </w:r>
    </w:p>
    <w:p w:rsidR="004E0080" w:rsidRDefault="003D4762">
      <w:pPr>
        <w:ind w:left="-5" w:right="52"/>
      </w:pPr>
      <w:r>
        <w:rPr>
          <w:b/>
        </w:rPr>
        <w:t xml:space="preserve">Важно! </w:t>
      </w:r>
      <w:r>
        <w:t>Финальный оттенок окрашенной поверхности зависит от исходного цвета древесины. Рекомендуется делать пробное окрашивание.</w:t>
      </w:r>
      <w:r>
        <w:rPr>
          <w:b/>
        </w:rPr>
        <w:t xml:space="preserve"> </w:t>
      </w:r>
    </w:p>
    <w:p w:rsidR="004E0080" w:rsidRDefault="003D4762">
      <w:pPr>
        <w:pStyle w:val="1"/>
        <w:ind w:left="-5"/>
      </w:pPr>
      <w:r>
        <w:t xml:space="preserve">Применение </w:t>
      </w:r>
    </w:p>
    <w:p w:rsidR="004E0080" w:rsidRDefault="003D4762">
      <w:pPr>
        <w:ind w:left="-5" w:right="52"/>
      </w:pPr>
      <w:r>
        <w:t>Масло готово к применению. Не разбавлять. Перед началом работ масло необход</w:t>
      </w:r>
      <w:r>
        <w:t xml:space="preserve">имо тщательно перемешать. Температура основания и масла перед нанесением должна быть не ниже +12°С.  </w:t>
      </w:r>
    </w:p>
    <w:p w:rsidR="004E0080" w:rsidRDefault="003D4762">
      <w:pPr>
        <w:ind w:left="-5" w:right="52"/>
      </w:pPr>
      <w:r>
        <w:t>Нанести на торцы тонким слоем при помощи кисти. Для обеспечения большей степени защиты сильно впитывающих торцов рекомендуется двойная герметизация по при</w:t>
      </w:r>
      <w:r>
        <w:t xml:space="preserve">нципу «мокрое по мокрому». Нанесение второго слоя выполнять после полного высыхания первого. </w:t>
      </w:r>
    </w:p>
    <w:p w:rsidR="004E0080" w:rsidRDefault="003D4762">
      <w:pPr>
        <w:ind w:left="-5" w:right="52"/>
      </w:pPr>
      <w:r>
        <w:rPr>
          <w:b/>
        </w:rPr>
        <w:t>Внимание!</w:t>
      </w:r>
      <w:r>
        <w:t xml:space="preserve"> Наносить только на торцы. Излишки воска с других поверхностей удалить ветошью. Воск в бесцветном варианте усиливает естественный цвет древесины (создает</w:t>
      </w:r>
      <w:r>
        <w:t xml:space="preserve"> эффект влажной древесины). Не требует обязательного последующего покрытия </w:t>
      </w:r>
      <w:proofErr w:type="spellStart"/>
      <w:r>
        <w:t>какимилибо</w:t>
      </w:r>
      <w:proofErr w:type="spellEnd"/>
      <w:r>
        <w:t xml:space="preserve"> декоративными составами.  </w:t>
      </w:r>
    </w:p>
    <w:p w:rsidR="004E0080" w:rsidRDefault="003D4762">
      <w:pPr>
        <w:ind w:left="-5" w:right="923"/>
      </w:pPr>
      <w:r>
        <w:rPr>
          <w:b/>
        </w:rPr>
        <w:t xml:space="preserve">Упаковка: </w:t>
      </w:r>
      <w:r>
        <w:t xml:space="preserve">металлические банки и ведра объемом 0,1 л., 0,75 л. и 2,5 л. </w:t>
      </w:r>
      <w:r>
        <w:rPr>
          <w:b/>
        </w:rPr>
        <w:t xml:space="preserve">Гарантия и хранение </w:t>
      </w:r>
    </w:p>
    <w:p w:rsidR="004E0080" w:rsidRDefault="003D4762">
      <w:pPr>
        <w:ind w:left="-5" w:right="52"/>
      </w:pPr>
      <w:r>
        <w:t xml:space="preserve">Срок годности в неповрежденной оригинальной упаковке в сухом прохладном помещении – 5 лет с момента изготовления. Транспортировать и хранить при температуре от -50 до +40 °С, избегая попадания прямых солнечных лучей. Во вскрытой банке на поверхности может </w:t>
      </w:r>
      <w:r>
        <w:t xml:space="preserve">образовываться пленка. Перед повторным применением ее необходимо удалить. </w:t>
      </w:r>
    </w:p>
    <w:p w:rsidR="004E0080" w:rsidRDefault="003D4762">
      <w:pPr>
        <w:pStyle w:val="1"/>
        <w:spacing w:after="11"/>
        <w:ind w:left="-5"/>
      </w:pPr>
      <w:r>
        <w:t>Безопасность</w:t>
      </w:r>
      <w:r>
        <w:rPr>
          <w:rFonts w:ascii="Calibri" w:eastAsia="Calibri" w:hAnsi="Calibri" w:cs="Calibri"/>
          <w:b w:val="0"/>
        </w:rPr>
        <w:t xml:space="preserve"> </w:t>
      </w:r>
    </w:p>
    <w:p w:rsidR="004E0080" w:rsidRDefault="003D4762">
      <w:pPr>
        <w:ind w:left="-5" w:right="52"/>
      </w:pPr>
      <w:r>
        <w:t xml:space="preserve">Хранить в недоступном для детей месте. Не допускать попадания в глаза и на открытые участки кожи, не проглатывать. При попадании в глаза немедленно обратиться к врачу </w:t>
      </w:r>
      <w:r>
        <w:t>и показать этикетку. При внутренних работах использовать только в хорошо проветриваемых помещениях. За счет содержания натуральных компонентов – может вызвать аллергическую реакцию. Обеспечить защиту рук при использовании продукта.</w:t>
      </w:r>
      <w:r>
        <w:rPr>
          <w:b/>
        </w:rPr>
        <w:t xml:space="preserve"> ВНИМАНИЕ!</w:t>
      </w:r>
      <w:r>
        <w:t xml:space="preserve"> Ветошь, пропит</w:t>
      </w:r>
      <w:r>
        <w:t>анную воском, сразу после использования полностью погрузить в емкость с водой или до утилизации держать в плотно закрытой металлической таре (опасность самовозгорания). Воск является горючим, но не самовоспламеняющимся материалом. Пустую тару упаковать в п</w:t>
      </w:r>
      <w:r>
        <w:t xml:space="preserve">олиэтиленовые пакеты и отправить в мусоросборник. </w:t>
      </w:r>
    </w:p>
    <w:p w:rsidR="004E0080" w:rsidRDefault="003D4762">
      <w:pPr>
        <w:spacing w:after="46" w:line="259" w:lineRule="auto"/>
        <w:ind w:left="0" w:firstLine="0"/>
        <w:jc w:val="left"/>
      </w:pPr>
      <w:r>
        <w:t xml:space="preserve"> </w:t>
      </w:r>
    </w:p>
    <w:p w:rsidR="004E0080" w:rsidRDefault="003D4762">
      <w:pPr>
        <w:spacing w:after="0" w:line="266" w:lineRule="auto"/>
        <w:ind w:left="-5" w:right="56"/>
      </w:pPr>
      <w:r>
        <w:lastRenderedPageBreak/>
        <w:t xml:space="preserve"> </w:t>
      </w:r>
      <w:r>
        <w:rPr>
          <w:i/>
          <w:sz w:val="18"/>
        </w:rPr>
        <w:t>При работе с материалом помимо технического описания следует руководствоваться соответствующими строительными нормами и правилами РФ. Производитель не несет ответственности за несоблюдение технологии пр</w:t>
      </w:r>
      <w:r>
        <w:rPr>
          <w:i/>
          <w:sz w:val="18"/>
        </w:rPr>
        <w:t xml:space="preserve">и работе с материалом, а также за его применение в целях и условиях, не предусмотренных данным техническим описанием.  </w:t>
      </w:r>
    </w:p>
    <w:p w:rsidR="004E0080" w:rsidRDefault="003D4762">
      <w:pPr>
        <w:spacing w:after="228" w:line="266" w:lineRule="auto"/>
        <w:ind w:left="-5" w:right="56"/>
      </w:pPr>
      <w:r>
        <w:rPr>
          <w:i/>
          <w:sz w:val="18"/>
        </w:rPr>
        <w:t>При возникновении любых вопросов относительно применения материала следует проконсультироваться с менеджерами.</w:t>
      </w:r>
      <w:r>
        <w:rPr>
          <w:i/>
          <w:sz w:val="18"/>
        </w:rPr>
        <w:t xml:space="preserve"> </w:t>
      </w:r>
    </w:p>
    <w:p w:rsidR="004E0080" w:rsidRDefault="003D4762">
      <w:pPr>
        <w:spacing w:after="110" w:line="259" w:lineRule="auto"/>
        <w:ind w:left="-5"/>
        <w:jc w:val="left"/>
      </w:pPr>
      <w:bookmarkStart w:id="0" w:name="_GoBack"/>
      <w:bookmarkEnd w:id="0"/>
      <w:r>
        <w:rPr>
          <w:rFonts w:ascii="Calibri" w:eastAsia="Calibri" w:hAnsi="Calibri" w:cs="Calibri"/>
          <w:i/>
          <w:color w:val="C00000"/>
        </w:rPr>
        <w:t xml:space="preserve">   </w:t>
      </w:r>
      <w:r>
        <w:rPr>
          <w:rFonts w:ascii="Calibri" w:eastAsia="Calibri" w:hAnsi="Calibri" w:cs="Calibri"/>
          <w:i/>
          <w:color w:val="C00000"/>
        </w:rPr>
        <w:t xml:space="preserve">                                                     </w:t>
      </w:r>
      <w:r>
        <w:rPr>
          <w:rFonts w:ascii="Calibri" w:eastAsia="Calibri" w:hAnsi="Calibri" w:cs="Calibri"/>
          <w:color w:val="C00000"/>
        </w:rPr>
        <w:t xml:space="preserve">                                                  </w:t>
      </w:r>
    </w:p>
    <w:sectPr w:rsidR="004E0080">
      <w:pgSz w:w="11906" w:h="16838"/>
      <w:pgMar w:top="708" w:right="783" w:bottom="94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133B7"/>
    <w:multiLevelType w:val="hybridMultilevel"/>
    <w:tmpl w:val="69066662"/>
    <w:lvl w:ilvl="0" w:tplc="4450FE00">
      <w:start w:val="1"/>
      <w:numFmt w:val="bullet"/>
      <w:lvlText w:val="✓"/>
      <w:lvlJc w:val="left"/>
      <w:pPr>
        <w:ind w:left="8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A8DCFE">
      <w:start w:val="1"/>
      <w:numFmt w:val="bullet"/>
      <w:lvlText w:val="o"/>
      <w:lvlJc w:val="left"/>
      <w:pPr>
        <w:ind w:left="1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160440">
      <w:start w:val="1"/>
      <w:numFmt w:val="bullet"/>
      <w:lvlText w:val="▪"/>
      <w:lvlJc w:val="left"/>
      <w:pPr>
        <w:ind w:left="2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C501C">
      <w:start w:val="1"/>
      <w:numFmt w:val="bullet"/>
      <w:lvlText w:val="•"/>
      <w:lvlJc w:val="left"/>
      <w:pPr>
        <w:ind w:left="3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D89CBC">
      <w:start w:val="1"/>
      <w:numFmt w:val="bullet"/>
      <w:lvlText w:val="o"/>
      <w:lvlJc w:val="left"/>
      <w:pPr>
        <w:ind w:left="3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8C14CA">
      <w:start w:val="1"/>
      <w:numFmt w:val="bullet"/>
      <w:lvlText w:val="▪"/>
      <w:lvlJc w:val="left"/>
      <w:pPr>
        <w:ind w:left="4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8040BE">
      <w:start w:val="1"/>
      <w:numFmt w:val="bullet"/>
      <w:lvlText w:val="•"/>
      <w:lvlJc w:val="left"/>
      <w:pPr>
        <w:ind w:left="52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E78EC">
      <w:start w:val="1"/>
      <w:numFmt w:val="bullet"/>
      <w:lvlText w:val="o"/>
      <w:lvlJc w:val="left"/>
      <w:pPr>
        <w:ind w:left="59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A8E0">
      <w:start w:val="1"/>
      <w:numFmt w:val="bullet"/>
      <w:lvlText w:val="▪"/>
      <w:lvlJc w:val="left"/>
      <w:pPr>
        <w:ind w:left="66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80"/>
    <w:rsid w:val="003D4762"/>
    <w:rsid w:val="004E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8837"/>
  <w15:docId w15:val="{EEE7771C-54F3-489E-B035-5B18DDB8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12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7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ТЕХНИЧЕСКАЯ СПЕЦИФИКАЦИЯ</dc:title>
  <dc:subject/>
  <dc:creator>Your User Name</dc:creator>
  <cp:keywords/>
  <cp:lastModifiedBy>andrey</cp:lastModifiedBy>
  <cp:revision>3</cp:revision>
  <dcterms:created xsi:type="dcterms:W3CDTF">2022-04-22T11:12:00Z</dcterms:created>
  <dcterms:modified xsi:type="dcterms:W3CDTF">2022-04-22T11:12:00Z</dcterms:modified>
</cp:coreProperties>
</file>